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FCH04</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0661" w:type="dxa"/>
          </w:tcPr>
          <w:p>
            <w:pPr>
              <w:pStyle w:val="7"/>
              <w:tabs>
                <w:tab w:val="left" w:pos="4161"/>
                <w:tab w:val="left" w:pos="6184"/>
                <w:tab w:val="left" w:pos="6347"/>
                <w:tab w:val="left" w:pos="8255"/>
                <w:tab w:val="right" w:pos="8624"/>
              </w:tabs>
              <w:spacing w:line="252" w:lineRule="auto"/>
              <w:ind w:left="314" w:right="1647"/>
              <w:rPr>
                <w:b/>
                <w:i/>
                <w:sz w:val="21"/>
              </w:rPr>
            </w:pPr>
            <w:r>
              <w:rPr>
                <w:b/>
                <w:i/>
                <w:sz w:val="21"/>
              </w:rPr>
              <w:t>Key</w:t>
            </w:r>
            <w:r>
              <w:rPr>
                <w:b/>
                <w:i/>
                <w:spacing w:val="-5"/>
                <w:sz w:val="21"/>
              </w:rPr>
              <w:t xml:space="preserve"> </w:t>
            </w:r>
            <w:r>
              <w:rPr>
                <w:b/>
                <w:i/>
                <w:sz w:val="21"/>
              </w:rPr>
              <w:t>Ingredient</w:t>
            </w:r>
            <w:r>
              <w:rPr>
                <w:b/>
                <w:i/>
                <w:sz w:val="21"/>
              </w:rPr>
              <w:tab/>
            </w:r>
            <w:r>
              <w:rPr>
                <w:b/>
                <w:i/>
                <w:sz w:val="21"/>
              </w:rPr>
              <w:t>CAS</w:t>
            </w:r>
            <w:r>
              <w:rPr>
                <w:b/>
                <w:i/>
                <w:spacing w:val="-1"/>
                <w:sz w:val="21"/>
              </w:rPr>
              <w:t xml:space="preserve"> </w:t>
            </w:r>
            <w:r>
              <w:rPr>
                <w:b/>
                <w:i/>
                <w:sz w:val="21"/>
              </w:rPr>
              <w:t>NO.</w:t>
            </w:r>
            <w:r>
              <w:rPr>
                <w:b/>
                <w:i/>
                <w:sz w:val="21"/>
              </w:rPr>
              <w:tab/>
            </w:r>
            <w:r>
              <w:rPr>
                <w:b/>
                <w:i/>
                <w:sz w:val="21"/>
              </w:rPr>
              <w:tab/>
            </w:r>
            <w:r>
              <w:rPr>
                <w:b/>
                <w:i/>
                <w:sz w:val="21"/>
              </w:rPr>
              <w:t>EC</w:t>
            </w:r>
            <w:r>
              <w:rPr>
                <w:b/>
                <w:i/>
                <w:spacing w:val="1"/>
                <w:sz w:val="21"/>
              </w:rPr>
              <w:t xml:space="preserve"> </w:t>
            </w:r>
            <w:r>
              <w:rPr>
                <w:b/>
                <w:i/>
                <w:sz w:val="21"/>
              </w:rPr>
              <w:t>NO.</w:t>
            </w:r>
            <w:r>
              <w:rPr>
                <w:b/>
                <w:i/>
                <w:sz w:val="21"/>
              </w:rPr>
              <w:tab/>
            </w:r>
            <w:r>
              <w:rPr>
                <w:b/>
                <w:i/>
                <w:spacing w:val="-1"/>
                <w:sz w:val="21"/>
              </w:rPr>
              <w:t xml:space="preserve">Target% </w:t>
            </w:r>
            <w:r>
              <w:rPr>
                <w:b/>
                <w:i/>
                <w:sz w:val="21"/>
              </w:rPr>
              <w:t>Polybutylene</w:t>
            </w:r>
            <w:r>
              <w:rPr>
                <w:b/>
                <w:i/>
                <w:spacing w:val="-4"/>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ab/>
            </w:r>
            <w:r>
              <w:rPr>
                <w:b/>
                <w:i/>
                <w:sz w:val="21"/>
              </w:rPr>
              <w:t>99.3</w:t>
            </w:r>
          </w:p>
          <w:p>
            <w:pPr>
              <w:pStyle w:val="7"/>
              <w:tabs>
                <w:tab w:val="left" w:pos="4120"/>
                <w:tab w:val="left" w:pos="6184"/>
                <w:tab w:val="right" w:pos="8518"/>
              </w:tabs>
              <w:spacing w:before="8" w:line="223" w:lineRule="exact"/>
              <w:ind w:left="314"/>
              <w:rPr>
                <w:b/>
                <w:i/>
                <w:sz w:val="21"/>
              </w:rPr>
            </w:pPr>
            <w:r>
              <w:rPr>
                <w:b/>
                <w:i/>
                <w:sz w:val="21"/>
              </w:rPr>
              <w:t>Acrylates</w:t>
            </w:r>
            <w:r>
              <w:rPr>
                <w:b/>
                <w:i/>
                <w:spacing w:val="-3"/>
                <w:sz w:val="21"/>
              </w:rPr>
              <w:t xml:space="preserve"> </w:t>
            </w:r>
            <w:r>
              <w:rPr>
                <w:b/>
                <w:i/>
                <w:sz w:val="21"/>
              </w:rPr>
              <w:t>Copolymer</w:t>
            </w:r>
            <w:r>
              <w:rPr>
                <w:b/>
                <w:i/>
                <w:sz w:val="21"/>
              </w:rPr>
              <w:tab/>
            </w:r>
            <w:r>
              <w:rPr>
                <w:b/>
                <w:i/>
                <w:sz w:val="20"/>
              </w:rPr>
              <w:t>25035-69-2</w:t>
            </w:r>
            <w:r>
              <w:rPr>
                <w:b/>
                <w:i/>
                <w:sz w:val="20"/>
              </w:rPr>
              <w:tab/>
            </w:r>
            <w:r>
              <w:rPr>
                <w:b/>
                <w:i/>
                <w:sz w:val="20"/>
              </w:rPr>
              <w:t>607-492-1</w:t>
            </w:r>
            <w:r>
              <w:rPr>
                <w:b/>
                <w:i/>
                <w:sz w:val="20"/>
              </w:rPr>
              <w:tab/>
            </w:r>
            <w:r>
              <w:rPr>
                <w:b/>
                <w:i/>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before="1" w:line="242"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661" w:type="dxa"/>
          </w:tcPr>
          <w:p>
            <w:pPr>
              <w:pStyle w:val="7"/>
              <w:spacing w:before="2"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8" w:hRule="atLeast"/>
        </w:trPr>
        <w:tc>
          <w:tcPr>
            <w:tcW w:w="10661" w:type="dxa"/>
          </w:tcPr>
          <w:p>
            <w:pPr>
              <w:pStyle w:val="7"/>
              <w:spacing w:line="238" w:lineRule="exact"/>
              <w:rPr>
                <w:b/>
                <w:i/>
                <w:sz w:val="21"/>
              </w:rPr>
            </w:pPr>
            <w:r>
              <w:rPr>
                <w:b/>
                <w:i/>
                <w:sz w:val="21"/>
              </w:rPr>
              <w:t>Effects and Symptoms:</w:t>
            </w:r>
          </w:p>
          <w:p>
            <w:pPr>
              <w:pStyle w:val="7"/>
              <w:tabs>
                <w:tab w:val="left" w:pos="4195"/>
                <w:tab w:val="left" w:pos="4526"/>
              </w:tabs>
              <w:spacing w:line="241" w:lineRule="exact"/>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3"/>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9"/>
              <w:ind w:left="0"/>
              <w:rPr>
                <w:sz w:val="20"/>
              </w:rPr>
            </w:pPr>
          </w:p>
          <w:p>
            <w:pPr>
              <w:pStyle w:val="7"/>
              <w:rPr>
                <w:b/>
                <w:i/>
                <w:sz w:val="21"/>
              </w:rPr>
            </w:pPr>
            <w:r>
              <w:rPr>
                <w:b/>
                <w:i/>
                <w:sz w:val="21"/>
              </w:rPr>
              <w:t>Emergency First Aid:</w:t>
            </w:r>
          </w:p>
          <w:p>
            <w:pPr>
              <w:pStyle w:val="7"/>
              <w:tabs>
                <w:tab w:val="left" w:pos="2111"/>
                <w:tab w:val="left" w:pos="2865"/>
              </w:tabs>
              <w:spacing w:before="4"/>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6"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7"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661" w:type="dxa"/>
          </w:tcPr>
          <w:p>
            <w:pPr>
              <w:pStyle w:val="7"/>
              <w:tabs>
                <w:tab w:val="left" w:pos="4214"/>
              </w:tabs>
              <w:spacing w:line="237"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before="1"/>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7" w:line="240" w:lineRule="exac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w:t>
            </w:r>
            <w:r>
              <w:rPr>
                <w:b/>
                <w:i/>
                <w:spacing w:val="-3"/>
                <w:sz w:val="21"/>
              </w:rPr>
              <w:t xml:space="preserve"> </w:t>
            </w:r>
            <w:r>
              <w:rPr>
                <w:b/>
                <w:i/>
                <w:sz w:val="21"/>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0661" w:type="dxa"/>
          </w:tcPr>
          <w:p>
            <w:pPr>
              <w:pStyle w:val="7"/>
              <w:tabs>
                <w:tab w:val="left" w:pos="3074"/>
              </w:tabs>
              <w:spacing w:line="236"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6"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s>
              <w:spacing w:line="235" w:lineRule="exact"/>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16"/>
                <w:sz w:val="21"/>
              </w:rPr>
              <w:t xml:space="preserve"> </w:t>
            </w:r>
            <w:r>
              <w:rPr>
                <w:b/>
                <w:i/>
                <w:sz w:val="21"/>
              </w:rPr>
              <w:t>exposure.</w:t>
            </w:r>
          </w:p>
          <w:p>
            <w:pPr>
              <w:pStyle w:val="7"/>
              <w:tabs>
                <w:tab w:val="left" w:pos="2812"/>
              </w:tabs>
              <w:spacing w:line="225" w:lineRule="exact"/>
              <w:rPr>
                <w:b/>
                <w:i/>
                <w:sz w:val="21"/>
              </w:rPr>
            </w:pPr>
            <w:r>
              <w:rPr>
                <w:b/>
                <w:i/>
                <w:sz w:val="21"/>
              </w:rPr>
              <w:t>Ventilation</w:t>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4" w:hRule="atLeast"/>
        </w:trPr>
        <w:tc>
          <w:tcPr>
            <w:tcW w:w="10597" w:type="dxa"/>
          </w:tcPr>
          <w:p>
            <w:pPr>
              <w:pStyle w:val="7"/>
              <w:tabs>
                <w:tab w:val="left" w:pos="2702"/>
                <w:tab w:val="left" w:pos="3139"/>
                <w:tab w:val="left" w:pos="5275"/>
              </w:tabs>
              <w:spacing w:before="9"/>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0"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Bluish Iridescent powder,</w:t>
            </w:r>
            <w:r>
              <w:rPr>
                <w:b/>
                <w:i/>
                <w:spacing w:val="-11"/>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0597" w:type="dxa"/>
          </w:tcPr>
          <w:p>
            <w:pPr>
              <w:pStyle w:val="7"/>
              <w:spacing w:line="235" w:lineRule="exact"/>
              <w:rPr>
                <w:b/>
                <w:i/>
                <w:sz w:val="21"/>
              </w:rPr>
            </w:pPr>
            <w:r>
              <w:rPr>
                <w:b/>
                <w:i/>
                <w:sz w:val="21"/>
              </w:rPr>
              <w:t>Ecological respectively ecotoxicological data is not available</w:t>
            </w:r>
          </w:p>
          <w:p>
            <w:pPr>
              <w:pStyle w:val="7"/>
              <w:spacing w:before="9"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3"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bl>
    <w:p>
      <w:pPr>
        <w:spacing w:after="0"/>
        <w:rPr>
          <w:sz w:val="16"/>
        </w:rPr>
        <w:sectPr>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10597" w:type="dxa"/>
          </w:tcPr>
          <w:p>
            <w:pPr>
              <w:pStyle w:val="7"/>
              <w:ind w:left="0"/>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5" w:hRule="atLeast"/>
        </w:trPr>
        <w:tc>
          <w:tcPr>
            <w:tcW w:w="10597" w:type="dxa"/>
          </w:tcPr>
          <w:p>
            <w:pPr>
              <w:pStyle w:val="7"/>
              <w:ind w:left="4"/>
              <w:rPr>
                <w:b/>
                <w:i/>
                <w:sz w:val="32"/>
              </w:rPr>
            </w:pPr>
            <w:r>
              <w:rPr>
                <w:b/>
                <w:i/>
                <w:sz w:val="32"/>
              </w:rPr>
              <w:t>DISCLAIMER OF LIABILITY</w:t>
            </w:r>
          </w:p>
          <w:p>
            <w:pPr>
              <w:pStyle w:val="7"/>
              <w:spacing w:before="273"/>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3"/>
              <w:ind w:left="1108"/>
              <w:rPr>
                <w:b/>
                <w:i/>
                <w:sz w:val="21"/>
              </w:rPr>
            </w:pPr>
            <w:r>
              <w:rPr>
                <w:b/>
                <w:i/>
                <w:sz w:val="21"/>
              </w:rPr>
              <w:t>------ END ------</w:t>
            </w:r>
          </w:p>
        </w:tc>
      </w:tr>
    </w:tbl>
    <w:p/>
    <w:sectPr>
      <w:pgSz w:w="12240" w:h="15840"/>
      <w:pgMar w:top="1460" w:right="440" w:bottom="1260" w:left="920" w:header="736" w:footer="10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bookmarkStart w:id="0" w:name="_GoBack"/>
    <w:bookmarkEnd w:id="0"/>
    <w:r>
      <mc:AlternateContent>
        <mc:Choice Requires="wps">
          <w:drawing>
            <wp:anchor distT="0" distB="0" distL="114300" distR="114300" simplePos="0" relativeHeight="251413504"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4" o:spid="_x0000_s1026" o:spt="202" type="#_x0000_t202" style="position:absolute;left:0pt;margin-left:55.6pt;margin-top:727pt;height:19.7pt;width:285.6pt;mso-position-horizontal-relative:page;mso-position-vertical-relative:page;z-index:-251902976;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A73ktEuwEAAHMDAAAOAAAAZHJzL2Uyb0RvYy54bWyt&#10;U82O0zAQviPtO1i+b52GZYGo6Uqo2hUSAqSFB3Adu7HkP43dJn0BeANOXLjzXH2OHbtNF5bLHrg4&#10;45nJN9/3TbK4Ga0hOwlRe9fS+ayiRDrhO+02Lf365fbyDSUxcddx451s6V5GerO8eLEYQiNr33vT&#10;SSAI4mIzhJb2KYWGsSh6aXmc+SAdFpUHyxNeYcM64AOiW8Pqqrpmg4cugBcyRsyujkV6QoTnAHql&#10;tJArL7ZWunREBWl4Qkmx1yHSZWGrlBTpk1JRJmJaikpTOXEIxut8suWCNxvgodfiRIE/h8ITTZZr&#10;h0PPUCueONmC/gfKagE+epVmwlt2FFIcQRXz6ok39z0PsmhBq2M4mx7/H6z4uPsMRHf4JaAljlvc&#10;+OHH98PP34df38hV9mcIscG2+4CNaXznR+yd8hGTWfaowOYnCiJYR6j92V05JiIw+fK6fj2vsSSw&#10;Vr+q5m+L/ezx7QAx3UlvSQ5aCri9YirffYgJmWDr1JKHOX+rjSkbNO6vBDbmDMvUjxRzlMb1eNKz&#10;9t0e5Zj3Dr1ESmkKYArWU7ANoDc90imiCyTuopA5fTd52X/ey+DHf2X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A73ktE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10432"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06048;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11456"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05024;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12480" behindDoc="1" locked="0" layoutInCell="1" allowOverlap="1">
              <wp:simplePos x="0" y="0"/>
              <wp:positionH relativeFrom="page">
                <wp:posOffset>4874260</wp:posOffset>
              </wp:positionH>
              <wp:positionV relativeFrom="page">
                <wp:posOffset>603250</wp:posOffset>
              </wp:positionV>
              <wp:extent cx="15246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2463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Data of issue: Dec. 19, 2020</w:t>
                          </w:r>
                        </w:p>
                      </w:txbxContent>
                    </wps:txbx>
                    <wps:bodyPr lIns="0" tIns="0" rIns="0" bIns="0" upright="1"/>
                  </wps:wsp>
                </a:graphicData>
              </a:graphic>
            </wp:anchor>
          </w:drawing>
        </mc:Choice>
        <mc:Fallback>
          <w:pict>
            <v:shape id="文本框 3" o:spid="_x0000_s1026" o:spt="202" type="#_x0000_t202" style="position:absolute;left:0pt;margin-left:383.8pt;margin-top:47.5pt;height:12.1pt;width:120.05pt;mso-position-horizontal-relative:page;mso-position-vertical-relative:page;z-index:-251904000;mso-width-relative:page;mso-height-relative:page;" filled="f" stroked="f" coordsize="21600,21600" o:gfxdata="UEsDBAoAAAAAAIdO4kAAAAAAAAAAAAAAAAAEAAAAZHJzL1BLAwQUAAAACACHTuJAPt7PxdkAAAAL&#10;AQAADwAAAGRycy9kb3ducmV2LnhtbE2PTU+EMBCG7yb+h2ZMvLktmwiClI0xejIxsnjwWGAWmqVT&#10;pN0P/72zJ73NZJ6887zl5uwmccQlWE8akpUCgdT53tKg4bN5vXsAEaKh3kyeUMMPBthU11elKXp/&#10;ohqP2zgIDqFQGA1jjHMhZehGdCas/IzEt51fnIm8LoPsF3PicDfJtVKpdMYSfxjNjM8jdvvtwWl4&#10;+qL6xX6/tx/1rrZNkyt6S/da394k6hFExHP8g+Giz+pQsVPrD9QHMWnI0ixlVEN+z50ugFJZBqLl&#10;KcnXIKtS/u9Q/QJQSwMEFAAAAAgAh07iQMAfrKa8AQAAcgMAAA4AAABkcnMvZTJvRG9jLnhtbK1T&#10;S44TMRDdI80dLO+J85mEoZXOSCgahIQAaYYDOG47bcl2WbaT7lwAbsCKDXvOlXNM2UlnYNjMgo27&#10;XC6/eu+Ve3nbW0P2MkQNrqaT0ZgS6QQ02m1r+vXh7vUNJTFx13ADTtb0ICO9XV29Wna+klNowTQy&#10;EARxsep8TduUfMVYFK20PI7AS4eHCoLlCbdhy5rAO0S3hk3H4wXrIDQ+gJAxYnZ9OqRnxPASQFBK&#10;C7kGsbPSpRNqkIYnlBRb7SNdFbZKSZE+KxVlIqamqDSVFZtgvMkrWy15tQ3ct1qcKfCXUHimyXLt&#10;sOkFas0TJ7ug/4GyWgSIoNJIgGUnIcURVDEZP/PmvuVeFi1odfQX0+P/gxWf9l8C0U1N31LiuMWB&#10;H398P/78ffz1jcyyPZ2PFVbde6xL/Tvo8dEM+YjJrLpXweYv6iF4juYeLubKPhGRL82n14vZnBKB&#10;Z5P5bPGmuM+ebvsQ03sJluSgpgGHVzzl+48xIRMsHUpyMwd32pgyQOP+SmBhzrBM/UQxR6nf9Gc9&#10;G2gOKMd8cGhlfhZDEIZgMwQ7H/S2RTpFdIHEURQy52eTZ/3nvjR++lV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7ez8XZAAAACwEAAA8AAAAAAAAAAQAgAAAAIgAAAGRycy9kb3ducmV2LnhtbFBL&#10;AQIUABQAAAAIAIdO4kDAH6ym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Data of issue: Dec. 19,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65E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2021-03-06T07:55:00Z</dcterms:created>
  <dc:creator>Lau</dc:creator>
  <cp:lastModifiedBy>中泰颜料</cp:lastModifiedBy>
  <dcterms:modified xsi:type="dcterms:W3CDTF">2021-03-06T07:57:05Z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WPS 文字</vt:lpwstr>
  </property>
  <property fmtid="{D5CDD505-2E9C-101B-9397-08002B2CF9AE}" pid="4" name="LastSaved">
    <vt:filetime>2021-03-06T00:00:00Z</vt:filetime>
  </property>
  <property fmtid="{D5CDD505-2E9C-101B-9397-08002B2CF9AE}" pid="5" name="KSOProductBuildVer">
    <vt:lpwstr>2052-11.1.0.10314</vt:lpwstr>
  </property>
</Properties>
</file>