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eastAsia" w:ascii="Tahoma" w:hAnsi="Tahoma" w:cs="Tahoma" w:eastAsiaTheme="minorEastAsia"/>
                <w:lang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w:t>
            </w:r>
            <w:r>
              <w:rPr>
                <w:rFonts w:hint="eastAsia" w:ascii="Tahoma" w:hAnsi="Tahoma" w:cs="Tahoma"/>
              </w:rPr>
              <w:t>9</w:t>
            </w:r>
            <w:r>
              <w:rPr>
                <w:rFonts w:hint="eastAsia" w:ascii="Tahoma" w:hAnsi="Tahoma" w:cs="Tahoma"/>
                <w:lang w:val="en-US" w:eastAsia="zh-CN"/>
              </w:rPr>
              <w:t>41</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tcBorders>
              <w:bottom w:val="single" w:color="auto" w:sz="4" w:space="0"/>
            </w:tcBorders>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EINECS No.</w:t>
            </w:r>
          </w:p>
        </w:tc>
        <w:tc>
          <w:tcPr>
            <w:tcW w:w="1701" w:type="dxa"/>
            <w:tcBorders>
              <w:bottom w:val="single" w:color="auto" w:sz="4" w:space="0"/>
            </w:tcBorders>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CAS No.</w:t>
            </w:r>
          </w:p>
        </w:tc>
        <w:tc>
          <w:tcPr>
            <w:tcW w:w="2199" w:type="dxa"/>
            <w:tcBorders>
              <w:bottom w:val="single" w:color="auto" w:sz="4" w:space="0"/>
            </w:tcBorders>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Borders>
              <w:top w:val="single" w:color="auto" w:sz="4" w:space="0"/>
            </w:tcBorders>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Borders>
              <w:top w:val="single" w:color="auto" w:sz="4" w:space="0"/>
            </w:tcBorders>
          </w:tcPr>
          <w:p>
            <w:pPr>
              <w:jc w:val="center"/>
              <w:rPr>
                <w:rFonts w:ascii="Tahoma" w:hAnsi="Tahoma" w:cs="Tahoma"/>
                <w:sz w:val="18"/>
                <w:szCs w:val="18"/>
              </w:rPr>
            </w:pPr>
            <w:r>
              <w:rPr>
                <w:rFonts w:hint="eastAsia" w:ascii="Tahoma" w:hAnsi="Tahoma" w:cs="Tahoma"/>
                <w:sz w:val="18"/>
                <w:szCs w:val="18"/>
                <w:lang w:val="en-US" w:eastAsia="zh-CN"/>
              </w:rPr>
              <w:t>44-52</w:t>
            </w:r>
            <w:r>
              <w:rPr>
                <w:rFonts w:ascii="Tahoma" w:hAnsi="Tahoma" w:cs="Tahoma"/>
                <w:sz w:val="18"/>
                <w:szCs w:val="18"/>
              </w:rPr>
              <w:t>%</w:t>
            </w:r>
          </w:p>
        </w:tc>
        <w:tc>
          <w:tcPr>
            <w:tcW w:w="1275"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234-426-5</w:t>
            </w:r>
          </w:p>
        </w:tc>
        <w:tc>
          <w:tcPr>
            <w:tcW w:w="1701" w:type="dxa"/>
            <w:tcBorders>
              <w:top w:val="single" w:color="auto" w:sz="4" w:space="0"/>
            </w:tcBorders>
          </w:tcPr>
          <w:p>
            <w:pPr>
              <w:jc w:val="center"/>
              <w:rPr>
                <w:rFonts w:ascii="Tahoma" w:hAnsi="Tahoma" w:cs="Tahoma"/>
                <w:sz w:val="18"/>
                <w:szCs w:val="18"/>
              </w:rPr>
            </w:pPr>
          </w:p>
        </w:tc>
        <w:tc>
          <w:tcPr>
            <w:tcW w:w="1418"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12003-38-2</w:t>
            </w:r>
          </w:p>
        </w:tc>
        <w:tc>
          <w:tcPr>
            <w:tcW w:w="2199" w:type="dxa"/>
            <w:tcBorders>
              <w:top w:val="single" w:color="auto" w:sz="4" w:space="0"/>
            </w:tcBorders>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default" w:ascii="Tahoma" w:hAnsi="Tahoma" w:cs="Tahoma"/>
                <w:b w:val="0"/>
                <w:bCs/>
                <w:i w:val="0"/>
                <w:iCs/>
                <w:sz w:val="21"/>
                <w:szCs w:val="21"/>
              </w:rPr>
              <w:t xml:space="preserve">Iron  </w:t>
            </w:r>
            <w:r>
              <w:rPr>
                <w:rFonts w:hint="eastAsia" w:ascii="Tahoma" w:hAnsi="Tahoma" w:cs="Tahoma"/>
                <w:b w:val="0"/>
                <w:bCs/>
                <w:i w:val="0"/>
                <w:iCs/>
                <w:sz w:val="21"/>
                <w:szCs w:val="21"/>
                <w:lang w:val="en-US" w:eastAsia="zh-CN"/>
              </w:rPr>
              <w:t>O</w:t>
            </w:r>
            <w:r>
              <w:rPr>
                <w:rFonts w:hint="default" w:ascii="Tahoma" w:hAnsi="Tahoma" w:cs="Tahoma"/>
                <w:b w:val="0"/>
                <w:bCs/>
                <w:i w:val="0"/>
                <w:iCs/>
                <w:sz w:val="21"/>
                <w:szCs w:val="21"/>
              </w:rPr>
              <w:t>xide</w:t>
            </w:r>
          </w:p>
        </w:tc>
        <w:tc>
          <w:tcPr>
            <w:tcW w:w="1134" w:type="dxa"/>
            <w:gridSpan w:val="2"/>
            <w:vAlign w:val="center"/>
          </w:tcPr>
          <w:p>
            <w:pPr>
              <w:jc w:val="center"/>
              <w:rPr>
                <w:rFonts w:ascii="Tahoma" w:hAnsi="Tahoma" w:cs="Tahoma"/>
                <w:sz w:val="18"/>
                <w:szCs w:val="18"/>
              </w:rPr>
            </w:pPr>
            <w:r>
              <w:rPr>
                <w:rFonts w:hint="eastAsia" w:ascii="Tahoma" w:hAnsi="Tahoma" w:cs="Tahoma"/>
                <w:sz w:val="18"/>
                <w:szCs w:val="18"/>
                <w:lang w:val="en-US" w:eastAsia="zh-CN"/>
              </w:rPr>
              <w:t>17-21</w:t>
            </w:r>
            <w:r>
              <w:rPr>
                <w:rFonts w:ascii="Tahoma" w:hAnsi="Tahoma" w:cs="Tahoma"/>
                <w:sz w:val="18"/>
                <w:szCs w:val="18"/>
              </w:rPr>
              <w:t>%</w:t>
            </w:r>
          </w:p>
        </w:tc>
        <w:tc>
          <w:tcPr>
            <w:tcW w:w="1275" w:type="dxa"/>
            <w:gridSpan w:val="2"/>
            <w:vAlign w:val="center"/>
          </w:tcPr>
          <w:p>
            <w:pPr>
              <w:jc w:val="center"/>
              <w:rPr>
                <w:rFonts w:ascii="Tahoma" w:hAnsi="Tahoma" w:cs="Tahoma"/>
                <w:sz w:val="18"/>
                <w:szCs w:val="18"/>
              </w:rPr>
            </w:pPr>
            <w:r>
              <w:rPr>
                <w:rFonts w:ascii="Tahoma" w:hAnsi="Tahoma" w:cs="Tahoma"/>
                <w:sz w:val="18"/>
                <w:szCs w:val="18"/>
              </w:rPr>
              <w:t>215-168-2</w:t>
            </w:r>
          </w:p>
        </w:tc>
        <w:tc>
          <w:tcPr>
            <w:tcW w:w="1701" w:type="dxa"/>
          </w:tcPr>
          <w:p>
            <w:pPr>
              <w:jc w:val="center"/>
              <w:rPr>
                <w:rFonts w:ascii="Tahoma" w:hAnsi="Tahoma" w:eastAsia="宋体" w:cs="Tahoma"/>
                <w:sz w:val="18"/>
                <w:szCs w:val="18"/>
              </w:rPr>
            </w:pPr>
            <w:r>
              <w:rPr>
                <w:rFonts w:hint="eastAsia" w:ascii="Tahoma" w:hAnsi="Tahoma" w:cs="Tahoma"/>
                <w:sz w:val="18"/>
                <w:szCs w:val="18"/>
              </w:rPr>
              <w:t>77491</w:t>
            </w:r>
          </w:p>
        </w:tc>
        <w:tc>
          <w:tcPr>
            <w:tcW w:w="1418" w:type="dxa"/>
            <w:gridSpan w:val="2"/>
          </w:tcPr>
          <w:p>
            <w:pPr>
              <w:jc w:val="center"/>
              <w:rPr>
                <w:rFonts w:ascii="Tahoma" w:hAnsi="Tahoma" w:eastAsia="宋体" w:cs="Tahoma"/>
                <w:sz w:val="18"/>
                <w:szCs w:val="18"/>
              </w:rPr>
            </w:pPr>
            <w:r>
              <w:rPr>
                <w:rFonts w:hint="eastAsia" w:ascii="Tahoma" w:hAnsi="Tahoma" w:cs="Tahoma"/>
                <w:sz w:val="18"/>
                <w:szCs w:val="18"/>
              </w:rPr>
              <w:t>1309-37-1</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sz w:val="21"/>
                <w:szCs w:val="21"/>
              </w:rPr>
              <w:t xml:space="preserve">Silicon </w:t>
            </w:r>
            <w:r>
              <w:rPr>
                <w:rFonts w:hint="eastAsia" w:cs="Arial"/>
                <w:b w:val="0"/>
                <w:bCs/>
                <w:sz w:val="21"/>
                <w:szCs w:val="21"/>
                <w:lang w:val="en-US" w:eastAsia="zh-CN"/>
              </w:rPr>
              <w:t>D</w:t>
            </w:r>
            <w:r>
              <w:rPr>
                <w:rFonts w:hint="eastAsia" w:cs="Arial"/>
                <w:b w:val="0"/>
                <w:bCs/>
                <w:sz w:val="21"/>
                <w:szCs w:val="21"/>
              </w:rPr>
              <w:t>ioxide</w:t>
            </w:r>
          </w:p>
        </w:tc>
        <w:tc>
          <w:tcPr>
            <w:tcW w:w="1134" w:type="dxa"/>
            <w:gridSpan w:val="2"/>
            <w:vAlign w:val="center"/>
          </w:tcPr>
          <w:p>
            <w:pPr>
              <w:jc w:val="center"/>
              <w:rPr>
                <w:rFonts w:ascii="Tahoma" w:hAnsi="Tahoma" w:cs="Tahoma"/>
                <w:sz w:val="18"/>
                <w:szCs w:val="18"/>
              </w:rPr>
            </w:pPr>
            <w:r>
              <w:rPr>
                <w:rFonts w:hint="eastAsia" w:ascii="Tahoma" w:hAnsi="Tahoma" w:cs="Tahoma"/>
                <w:sz w:val="18"/>
                <w:szCs w:val="18"/>
                <w:lang w:val="en-US" w:eastAsia="zh-CN"/>
              </w:rPr>
              <w:t>31-35</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p>
        </w:tc>
        <w:tc>
          <w:tcPr>
            <w:tcW w:w="1134" w:type="dxa"/>
            <w:gridSpan w:val="2"/>
          </w:tcPr>
          <w:p>
            <w:pPr>
              <w:jc w:val="center"/>
              <w:rPr>
                <w:rFonts w:ascii="Tahoma" w:hAnsi="Tahoma" w:cs="Tahoma"/>
                <w:sz w:val="18"/>
                <w:szCs w:val="18"/>
              </w:rPr>
            </w:pPr>
          </w:p>
        </w:tc>
        <w:tc>
          <w:tcPr>
            <w:tcW w:w="1275" w:type="dxa"/>
            <w:gridSpan w:val="2"/>
          </w:tcPr>
          <w:p>
            <w:pPr>
              <w:jc w:val="center"/>
              <w:rPr>
                <w:rFonts w:ascii="Tahoma" w:hAnsi="Tahoma" w:cs="Tahoma"/>
                <w:sz w:val="18"/>
                <w:szCs w:val="18"/>
              </w:rPr>
            </w:pPr>
          </w:p>
        </w:tc>
        <w:tc>
          <w:tcPr>
            <w:tcW w:w="1701" w:type="dxa"/>
          </w:tcPr>
          <w:p>
            <w:pPr>
              <w:jc w:val="center"/>
              <w:rPr>
                <w:rFonts w:ascii="Tahoma" w:hAnsi="Tahoma" w:eastAsia="宋体" w:cs="Tahoma"/>
                <w:sz w:val="18"/>
                <w:szCs w:val="18"/>
              </w:rPr>
            </w:pPr>
          </w:p>
        </w:tc>
        <w:tc>
          <w:tcPr>
            <w:tcW w:w="1418" w:type="dxa"/>
            <w:gridSpan w:val="2"/>
          </w:tcPr>
          <w:p>
            <w:pPr>
              <w:jc w:val="center"/>
              <w:rPr>
                <w:rFonts w:ascii="Tahoma" w:hAnsi="Tahoma" w:cs="Tahoma"/>
                <w:sz w:val="18"/>
                <w:szCs w:val="18"/>
              </w:rPr>
            </w:pPr>
          </w:p>
        </w:tc>
        <w:tc>
          <w:tcPr>
            <w:tcW w:w="2199" w:type="dxa"/>
          </w:tcPr>
          <w:p>
            <w:pPr>
              <w:jc w:val="cente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bookmarkStart w:id="0" w:name="_GoBack"/>
            <w:bookmarkEnd w:id="0"/>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P</w:t>
            </w:r>
            <w:r>
              <w:rPr>
                <w:rFonts w:hint="eastAsia" w:ascii="Tahoma" w:hAnsi="Tahoma" w:cs="Tahoma"/>
              </w:rPr>
              <w:t xml:space="preserve">urple </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rPr>
              <w:t>4-9</w:t>
            </w:r>
            <w:r>
              <w:rPr>
                <w:rFonts w:ascii="Tahoma" w:hAnsi="Tahoma" w:cs="Tahoma"/>
              </w:rPr>
              <w:t xml:space="preserve">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9-3.5</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w:t>
            </w:r>
            <w:r>
              <w:rPr>
                <w:rFonts w:hint="eastAsia" w:ascii="Tahoma" w:hAnsi="Tahoma" w:cs="Tahoma"/>
                <w:lang w:val="en-US" w:eastAsia="zh-CN"/>
              </w:rPr>
              <w:t>5-65</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15</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77A4A"/>
    <w:rsid w:val="00094722"/>
    <w:rsid w:val="00157332"/>
    <w:rsid w:val="001B0D19"/>
    <w:rsid w:val="0026566F"/>
    <w:rsid w:val="00270E8F"/>
    <w:rsid w:val="00271DC7"/>
    <w:rsid w:val="002B09D3"/>
    <w:rsid w:val="002E5B34"/>
    <w:rsid w:val="002F4269"/>
    <w:rsid w:val="00365322"/>
    <w:rsid w:val="003B2DBE"/>
    <w:rsid w:val="004473D0"/>
    <w:rsid w:val="004F1A90"/>
    <w:rsid w:val="004F2DDA"/>
    <w:rsid w:val="00685ADF"/>
    <w:rsid w:val="007A10C8"/>
    <w:rsid w:val="00842083"/>
    <w:rsid w:val="0091127E"/>
    <w:rsid w:val="00947A75"/>
    <w:rsid w:val="00953FDB"/>
    <w:rsid w:val="009D2CFC"/>
    <w:rsid w:val="009D5ED0"/>
    <w:rsid w:val="009F1055"/>
    <w:rsid w:val="00A83DA2"/>
    <w:rsid w:val="00A863B0"/>
    <w:rsid w:val="00B077F3"/>
    <w:rsid w:val="00B249D5"/>
    <w:rsid w:val="00B92830"/>
    <w:rsid w:val="00BC0B52"/>
    <w:rsid w:val="00C25F7B"/>
    <w:rsid w:val="00C951C3"/>
    <w:rsid w:val="00CF063D"/>
    <w:rsid w:val="00D357B7"/>
    <w:rsid w:val="00D55652"/>
    <w:rsid w:val="00E50539"/>
    <w:rsid w:val="00EB2A31"/>
    <w:rsid w:val="00EC058F"/>
    <w:rsid w:val="00FB0EBF"/>
    <w:rsid w:val="00FB7DA6"/>
    <w:rsid w:val="13276C57"/>
    <w:rsid w:val="14F37915"/>
    <w:rsid w:val="24A04EFA"/>
    <w:rsid w:val="3BB36678"/>
    <w:rsid w:val="4CF96B14"/>
    <w:rsid w:val="4FDA2F57"/>
    <w:rsid w:val="5DFF3469"/>
    <w:rsid w:val="6D62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1040</Words>
  <Characters>5928</Characters>
  <Lines>49</Lines>
  <Paragraphs>13</Paragraphs>
  <TotalTime>2</TotalTime>
  <ScaleCrop>false</ScaleCrop>
  <LinksUpToDate>false</LinksUpToDate>
  <CharactersWithSpaces>6955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2018-07-23T09:57:00Z</cp:lastPrinted>
  <dcterms:modified xsi:type="dcterms:W3CDTF">2021-01-22T08:36:34Z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