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spacing w:before="1"/>
        <w:rPr>
          <w:rFonts w:ascii="Times New Roman"/>
          <w:b w:val="0"/>
          <w:i w:val="0"/>
          <w:sz w:val="17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pStyle w:val="2"/>
        <w:spacing w:before="93"/>
        <w:ind w:firstLine="300" w:firstLineChars="100"/>
        <w:rPr>
          <w:rFonts w:hint="default" w:eastAsia="宋体"/>
          <w:i/>
          <w:lang w:val="en-US" w:eastAsia="zh-CN"/>
        </w:rPr>
      </w:pPr>
      <w:r>
        <w:rPr>
          <w:rFonts w:ascii="Times-Bold" w:hAnsi="Times-Bold" w:cs="Times-Bold"/>
          <w:b/>
          <w:bCs/>
          <w:sz w:val="30"/>
          <w:szCs w:val="30"/>
          <w:lang w:val="en-US"/>
        </w:rPr>
        <w:t>(Code:</w:t>
      </w:r>
      <w:r>
        <w:rPr>
          <w:rFonts w:hint="eastAsia" w:ascii="Times-Bold" w:hAnsi="Times-Bold" w:eastAsia="宋体" w:cs="Times-Bold"/>
          <w:b/>
          <w:bCs/>
          <w:sz w:val="30"/>
          <w:szCs w:val="30"/>
          <w:lang w:val="en-US" w:eastAsia="zh-CN"/>
        </w:rPr>
        <w:t>SW325AY</w:t>
      </w:r>
      <w:r>
        <w:rPr>
          <w:rFonts w:ascii="Times-Bold" w:hAnsi="Times-Bold" w:cs="Times-Bold"/>
          <w:b/>
          <w:bCs/>
          <w:sz w:val="30"/>
          <w:szCs w:val="30"/>
          <w:lang w:val="en-US"/>
        </w:rPr>
        <w:t>)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</w:pPr>
            <w:bookmarkStart w:id="4" w:name="        Mica"/>
            <w:bookmarkEnd w:id="4"/>
            <w:r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  <w:t>Synthetic Fluorphlogopite</w:t>
            </w:r>
          </w:p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75.0-86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14.0-24.0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≤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3" w:name="Particle Size"/>
            <w:bookmarkEnd w:id="13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4" w:name="20-80 µm"/>
            <w:bookmarkEnd w:id="14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20-80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5" w:name="CRTM-42"/>
            <w:bookmarkEnd w:id="15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6" w:name="PH Value"/>
            <w:bookmarkEnd w:id="16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7" w:name="4-11"/>
            <w:bookmarkEnd w:id="17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6.0</w:t>
            </w:r>
            <w:r>
              <w:rPr>
                <w:b/>
                <w:i/>
                <w:sz w:val="24"/>
              </w:rPr>
              <w:t>-1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0.0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8" w:name="CRTM-45"/>
            <w:bookmarkEnd w:id="18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9" w:name="Density:                                "/>
            <w:bookmarkEnd w:id="19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0" w:name="3.0-3.7g/cm3"/>
            <w:bookmarkEnd w:id="20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2.5-3.4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1" w:name="CRTM-47"/>
            <w:bookmarkEnd w:id="21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2" w:name="Oil absorption"/>
            <w:bookmarkEnd w:id="22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50-11</w:t>
            </w:r>
            <w:bookmarkStart w:id="24" w:name="_GoBack"/>
            <w:bookmarkEnd w:id="24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3" w:name="CRTM-46"/>
            <w:bookmarkEnd w:id="23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D23DE"/>
    <w:rsid w:val="38311F3E"/>
    <w:rsid w:val="41871894"/>
    <w:rsid w:val="44D14EC7"/>
    <w:rsid w:val="44D72A46"/>
    <w:rsid w:val="5B1D2EAC"/>
    <w:rsid w:val="69BE0636"/>
    <w:rsid w:val="6B356262"/>
    <w:rsid w:val="799A6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2020-03-28T08:24:26Z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